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left"/>
        <w:rPr>
          <w:rFonts w:ascii="Verdana" w:cs="Verdana" w:eastAsia="Verdana" w:hAnsi="Verdana"/>
          <w:b w:val="1"/>
          <w:sz w:val="36"/>
          <w:szCs w:val="36"/>
        </w:rPr>
      </w:pP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Verdana" w:cs="Verdana" w:eastAsia="Verdana" w:hAnsi="Verdana"/>
          <w:b w:val="1"/>
          <w:sz w:val="36"/>
          <w:szCs w:val="36"/>
        </w:rPr>
      </w:pPr>
      <w:r w:rsidDel="00000000" w:rsidR="00000000" w:rsidRPr="00000000">
        <w:rPr>
          <w:rFonts w:ascii="Verdana" w:cs="Verdana" w:eastAsia="Verdana" w:hAnsi="Verdana"/>
          <w:b w:val="1"/>
          <w:sz w:val="36"/>
          <w:szCs w:val="36"/>
          <w:rtl w:val="0"/>
        </w:rPr>
        <w:t xml:space="preserve">MSAC Executive &amp;</w:t>
      </w:r>
    </w:p>
    <w:p w:rsidR="00000000" w:rsidDel="00000000" w:rsidP="00000000" w:rsidRDefault="00000000" w:rsidRPr="00000000" w14:paraId="00000003">
      <w:pPr>
        <w:pageBreakBefore w:val="0"/>
        <w:spacing w:line="240" w:lineRule="auto"/>
        <w:jc w:val="center"/>
        <w:rPr>
          <w:rFonts w:ascii="Verdana" w:cs="Verdana" w:eastAsia="Verdana" w:hAnsi="Verdana"/>
          <w:sz w:val="36"/>
          <w:szCs w:val="36"/>
        </w:rPr>
      </w:pPr>
      <w:r w:rsidDel="00000000" w:rsidR="00000000" w:rsidRPr="00000000">
        <w:rPr>
          <w:rFonts w:ascii="Verdana" w:cs="Verdana" w:eastAsia="Verdana" w:hAnsi="Verdana"/>
          <w:b w:val="1"/>
          <w:sz w:val="36"/>
          <w:szCs w:val="36"/>
          <w:rtl w:val="0"/>
        </w:rPr>
        <w:t xml:space="preserve"> Program Planning &amp; Evaluation Committee</w:t>
      </w:r>
      <w:r w:rsidDel="00000000" w:rsidR="00000000" w:rsidRPr="00000000">
        <w:rPr>
          <w:rtl w:val="0"/>
        </w:rPr>
      </w:r>
    </w:p>
    <w:p w:rsidR="00000000" w:rsidDel="00000000" w:rsidP="00000000" w:rsidRDefault="00000000" w:rsidRPr="00000000" w14:paraId="00000004">
      <w:pPr>
        <w:pageBreakBefore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MEETING MINUTES </w:t>
      </w:r>
    </w:p>
    <w:p w:rsidR="00000000" w:rsidDel="00000000" w:rsidP="00000000" w:rsidRDefault="00000000" w:rsidRPr="00000000" w14:paraId="00000006">
      <w:pPr>
        <w:pageBreakBefore w:val="0"/>
        <w:spacing w:line="240" w:lineRule="auto"/>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February 23, 2021</w:t>
      </w:r>
    </w:p>
    <w:p w:rsidR="00000000" w:rsidDel="00000000" w:rsidP="00000000" w:rsidRDefault="00000000" w:rsidRPr="00000000" w14:paraId="00000007">
      <w:pPr>
        <w:pageBreakBefore w:val="0"/>
        <w:spacing w:line="240" w:lineRule="auto"/>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Google Meet</w:t>
      </w:r>
    </w:p>
    <w:p w:rsidR="00000000" w:rsidDel="00000000" w:rsidP="00000000" w:rsidRDefault="00000000" w:rsidRPr="00000000" w14:paraId="00000008">
      <w:pPr>
        <w:pageBreakBefore w:val="0"/>
        <w:pBdr>
          <w:bottom w:color="c00000" w:space="1" w:sz="24" w:val="single"/>
        </w:pBdr>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9">
      <w:pPr>
        <w:pageBreakBefore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Executive Committee shall have general supervision of the affairs of the Council, make recommendations to the Council, and shall perform other duties as specified…</w:t>
      </w:r>
    </w:p>
    <w:p w:rsidR="00000000" w:rsidDel="00000000" w:rsidP="00000000" w:rsidRDefault="00000000" w:rsidRPr="00000000" w14:paraId="0000000A">
      <w:pPr>
        <w:pageBreakBefore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pageBreakBefore w:val="0"/>
        <w:spacing w:line="240" w:lineRule="auto"/>
        <w:rPr>
          <w:sz w:val="20"/>
          <w:szCs w:val="20"/>
        </w:rPr>
      </w:pPr>
      <w:r w:rsidDel="00000000" w:rsidR="00000000" w:rsidRPr="00000000">
        <w:rPr>
          <w:rFonts w:ascii="Verdana" w:cs="Verdana" w:eastAsia="Verdana" w:hAnsi="Verdana"/>
          <w:sz w:val="20"/>
          <w:szCs w:val="20"/>
          <w:rtl w:val="0"/>
        </w:rPr>
        <w:t xml:space="preserve">It shall be the duty of the Program Planning &amp; Evaluation committee to review and assess, as necessary, on-going programs maintained by the Council; to study new program initiatives for Council consideration; to direct the Council’s on-going planning process with respect to policies, programs, and Council operations; to make recommendations for Council action on these matters when appropriate; and to undertake such other duties as the Council may from time to time direct. The committee shall consist of no fewer than three members.</w:t>
      </w:r>
      <w:r w:rsidDel="00000000" w:rsidR="00000000" w:rsidRPr="00000000">
        <w:rPr>
          <w:sz w:val="20"/>
          <w:szCs w:val="20"/>
          <w:rtl w:val="0"/>
        </w:rPr>
        <w:t xml:space="preserve"> </w:t>
      </w:r>
    </w:p>
    <w:p w:rsidR="00000000" w:rsidDel="00000000" w:rsidP="00000000" w:rsidRDefault="00000000" w:rsidRPr="00000000" w14:paraId="0000000C">
      <w:pPr>
        <w:pageBreakBefore w:val="0"/>
        <w:spacing w:line="240" w:lineRule="auto"/>
        <w:rPr>
          <w:rFonts w:ascii="Verdana" w:cs="Verdana" w:eastAsia="Verdana" w:hAnsi="Verdan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Called to Order.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Executive Director Report/Q&amp;A</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MSAC Professional Development </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March, 2020- June 2021, 6,204 participants attended 181 virtual professional development offerings by MSAC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Staffing Update</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Fiscal Officer position, Program Director County Arts Councils and Arts and Entertainment Districts position are both vacant and awaiting to be filled. Intern positions for the following programs also remain vacant: Marketing, Traditions and Grants</w:t>
        <w:br w:type="textWrapping"/>
        <w:tab/>
        <w:tab/>
        <w:tab/>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Grants Procedures Revisions, Dana Parsons, Laura Weiss, Emily Sollenberger</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Organization Eligibility</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Current Eligibility - Organization located in Maryland or has “significant programming in Maryland”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To increase transparency in the application process, MSAC staff is looking to define “significant programming in Maryland” as more than X% of programming occuring in Maryland.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Grants for Organizations Tiered Funding Model </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Current model - Grant Amount = Total Allowable Income X Panel Score X Cap Allocation% (same for all) </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Proposed tiered model - Cap Allocation % is largest (Level 1) organizations and decreases for largest (Level 5) organizations over 5 years</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Justification - Champion and equitable funding model arts organizations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Grants for Organizations Revisions </w:t>
      </w:r>
    </w:p>
    <w:p w:rsidR="00000000" w:rsidDel="00000000" w:rsidP="00000000" w:rsidRDefault="00000000" w:rsidRPr="00000000" w14:paraId="0000001F">
      <w:pPr>
        <w:widowControl w:val="0"/>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0">
      <w:pPr>
        <w:widowControl w:val="0"/>
        <w:numPr>
          <w:ilvl w:val="0"/>
          <w:numId w:val="2"/>
        </w:numPr>
        <w:ind w:left="72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Grants for Organizations Funding: Higher Ed Institutions and Tuition-Based Organizations</w:t>
      </w:r>
      <w:r w:rsidDel="00000000" w:rsidR="00000000" w:rsidRPr="00000000">
        <w:rPr>
          <w:rtl w:val="0"/>
        </w:rPr>
      </w:r>
    </w:p>
    <w:p w:rsidR="00000000" w:rsidDel="00000000" w:rsidP="00000000" w:rsidRDefault="00000000" w:rsidRPr="00000000" w14:paraId="00000021">
      <w:pPr>
        <w:widowControl w:val="0"/>
        <w:numPr>
          <w:ilvl w:val="1"/>
          <w:numId w:val="2"/>
        </w:numPr>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Objective: To align grandfathered organizations with the correct funding programs.</w:t>
      </w:r>
    </w:p>
    <w:p w:rsidR="00000000" w:rsidDel="00000000" w:rsidP="00000000" w:rsidRDefault="00000000" w:rsidRPr="00000000" w14:paraId="00000022">
      <w:pPr>
        <w:widowControl w:val="0"/>
        <w:numPr>
          <w:ilvl w:val="1"/>
          <w:numId w:val="2"/>
        </w:numPr>
        <w:ind w:left="144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Adding questions to GFO application:</w:t>
      </w:r>
    </w:p>
    <w:p w:rsidR="00000000" w:rsidDel="00000000" w:rsidP="00000000" w:rsidRDefault="00000000" w:rsidRPr="00000000" w14:paraId="00000023">
      <w:pPr>
        <w:widowControl w:val="0"/>
        <w:numPr>
          <w:ilvl w:val="2"/>
          <w:numId w:val="2"/>
        </w:numPr>
        <w:ind w:left="216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1: Identify % of programming serving the community (other than tuition-paying constituents).</w:t>
      </w:r>
    </w:p>
    <w:p w:rsidR="00000000" w:rsidDel="00000000" w:rsidP="00000000" w:rsidRDefault="00000000" w:rsidRPr="00000000" w14:paraId="00000024">
      <w:pPr>
        <w:widowControl w:val="0"/>
        <w:numPr>
          <w:ilvl w:val="1"/>
          <w:numId w:val="3"/>
        </w:numPr>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Based on the response, the staff recommends the correct funding program.</w:t>
      </w:r>
    </w:p>
    <w:p w:rsidR="00000000" w:rsidDel="00000000" w:rsidP="00000000" w:rsidRDefault="00000000" w:rsidRPr="00000000" w14:paraId="00000025">
      <w:pPr>
        <w:widowControl w:val="0"/>
        <w:numPr>
          <w:ilvl w:val="2"/>
          <w:numId w:val="3"/>
        </w:numPr>
        <w:ind w:left="2160" w:hanging="360"/>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2: List the programming that reaches beyond tuition-based constituents.</w:t>
      </w:r>
    </w:p>
    <w:p w:rsidR="00000000" w:rsidDel="00000000" w:rsidP="00000000" w:rsidRDefault="00000000" w:rsidRPr="00000000" w14:paraId="00000026">
      <w:pPr>
        <w:widowControl w:val="0"/>
        <w:numPr>
          <w:ilvl w:val="1"/>
          <w:numId w:val="3"/>
        </w:numPr>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Based on the response, the grantee may change to an Arts Program model (if not already), or phase out of the GFO Program. </w:t>
      </w:r>
    </w:p>
    <w:p w:rsidR="00000000" w:rsidDel="00000000" w:rsidP="00000000" w:rsidRDefault="00000000" w:rsidRPr="00000000" w14:paraId="00000027">
      <w:pPr>
        <w:widowControl w:val="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8">
      <w:pPr>
        <w:widowControl w:val="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Next steps: March Listening Session for May PPE Committee Meeting.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Adjourn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ageBreakBefore w:val="0"/>
      <w:tabs>
        <w:tab w:val="center" w:pos="4320"/>
        <w:tab w:val="right" w:pos="8640"/>
      </w:tabs>
      <w:spacing w:line="240" w:lineRule="auto"/>
      <w:jc w:val="center"/>
      <w:rPr/>
    </w:pPr>
    <w:r w:rsidDel="00000000" w:rsidR="00000000" w:rsidRPr="00000000">
      <w:rPr>
        <w:rFonts w:ascii="Cambria" w:cs="Cambria" w:eastAsia="Cambria" w:hAnsi="Cambria"/>
        <w:sz w:val="24"/>
        <w:szCs w:val="24"/>
      </w:rPr>
      <w:drawing>
        <wp:inline distB="114300" distT="114300" distL="114300" distR="114300">
          <wp:extent cx="2826834" cy="8048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26834" cy="8048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